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17D5EB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76E53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#10</w:t>
      </w:r>
      <w:r w:rsidR="00F76E53">
        <w:rPr>
          <w:bCs/>
          <w:noProof w:val="0"/>
          <w:sz w:val="24"/>
          <w:szCs w:val="24"/>
        </w:rPr>
        <w:t>5bis</w:t>
      </w:r>
      <w:r w:rsidRPr="00B266B0">
        <w:rPr>
          <w:bCs/>
          <w:noProof w:val="0"/>
          <w:sz w:val="24"/>
          <w:szCs w:val="24"/>
        </w:rPr>
        <w:tab/>
      </w:r>
      <w:r w:rsidRPr="00265A04">
        <w:rPr>
          <w:rFonts w:hint="eastAsia"/>
          <w:bCs/>
          <w:noProof w:val="0"/>
          <w:sz w:val="24"/>
          <w:szCs w:val="24"/>
        </w:rPr>
        <w:t>R</w:t>
      </w:r>
      <w:r w:rsidR="00265A04">
        <w:rPr>
          <w:bCs/>
          <w:noProof w:val="0"/>
          <w:sz w:val="24"/>
          <w:szCs w:val="24"/>
        </w:rPr>
        <w:t>3</w:t>
      </w:r>
      <w:r w:rsidRPr="00265A04">
        <w:rPr>
          <w:rFonts w:hint="eastAsia"/>
          <w:bCs/>
          <w:noProof w:val="0"/>
          <w:sz w:val="24"/>
          <w:szCs w:val="24"/>
        </w:rPr>
        <w:t>-</w:t>
      </w:r>
      <w:r w:rsidRPr="00265A04">
        <w:rPr>
          <w:bCs/>
          <w:noProof w:val="0"/>
          <w:sz w:val="24"/>
          <w:szCs w:val="24"/>
        </w:rPr>
        <w:t>19</w:t>
      </w:r>
      <w:r w:rsidR="00CE3CD3">
        <w:rPr>
          <w:bCs/>
          <w:noProof w:val="0"/>
          <w:sz w:val="24"/>
          <w:szCs w:val="24"/>
        </w:rPr>
        <w:t>5984</w:t>
      </w:r>
    </w:p>
    <w:p w14:paraId="2D8C6CA7" w14:textId="77777777" w:rsidR="00265A04" w:rsidRPr="000C4224" w:rsidRDefault="00265A04" w:rsidP="00265A04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0" w:name="_Hlk490060723"/>
      <w:r w:rsidRPr="000C4224">
        <w:rPr>
          <w:rFonts w:cs="Arial"/>
          <w:sz w:val="24"/>
          <w:szCs w:val="24"/>
          <w:lang w:val="en-US"/>
        </w:rPr>
        <w:t xml:space="preserve">Chongqing, China, 14 – 18 </w:t>
      </w:r>
      <w:proofErr w:type="gramStart"/>
      <w:r w:rsidRPr="000C4224">
        <w:rPr>
          <w:rFonts w:cs="Arial"/>
          <w:sz w:val="24"/>
          <w:szCs w:val="24"/>
          <w:lang w:val="en-US"/>
        </w:rPr>
        <w:t>October</w:t>
      </w:r>
      <w:r w:rsidRPr="000C4224">
        <w:rPr>
          <w:rFonts w:eastAsia="SimSun"/>
          <w:noProof w:val="0"/>
          <w:sz w:val="24"/>
          <w:szCs w:val="24"/>
          <w:lang w:val="en-US" w:eastAsia="zh-CN"/>
        </w:rPr>
        <w:t>,</w:t>
      </w:r>
      <w:proofErr w:type="gramEnd"/>
      <w:r w:rsidRPr="000C4224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0"/>
      <w:r w:rsidRPr="000C4224">
        <w:rPr>
          <w:rFonts w:eastAsia="SimSun"/>
          <w:noProof w:val="0"/>
          <w:sz w:val="24"/>
          <w:szCs w:val="24"/>
          <w:lang w:val="en-US" w:eastAsia="zh-CN"/>
        </w:rPr>
        <w:t>2019</w:t>
      </w:r>
    </w:p>
    <w:p w14:paraId="11776FA6" w14:textId="5CEA67FD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E9446C2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65A04">
        <w:rPr>
          <w:rFonts w:cs="Arial"/>
          <w:b/>
          <w:bCs/>
          <w:sz w:val="24"/>
          <w:lang w:eastAsia="ja-JP"/>
        </w:rPr>
        <w:t>10.3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6F21FE1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65A04">
        <w:rPr>
          <w:rFonts w:ascii="Arial" w:hAnsi="Arial" w:cs="Arial"/>
          <w:b/>
          <w:bCs/>
          <w:sz w:val="24"/>
        </w:rPr>
        <w:t>Measurement upload to the TCE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309C94E2" w:rsidR="007F2E08" w:rsidRPr="006E13D1" w:rsidRDefault="007164F0" w:rsidP="00A209D6">
      <w:r>
        <w:t>In Rel-16,</w:t>
      </w:r>
      <w:r w:rsidR="00E26777">
        <w:t xml:space="preserve"> the MDT feature will collect measurement performed by the gNB, in CU and DU. In this contribution we describe the MDT architecture</w:t>
      </w:r>
      <w:r w:rsidR="00CE3CD3">
        <w:t xml:space="preserve">, based on </w:t>
      </w:r>
      <w:r w:rsidR="00E26777">
        <w:t>the trace function</w:t>
      </w:r>
      <w:r w:rsidR="00CE3CD3">
        <w:t>,</w:t>
      </w:r>
      <w:r w:rsidR="00E26777">
        <w:t xml:space="preserve"> and make some proposal for the way data is collected and transferred</w:t>
      </w:r>
      <w:r w:rsidR="00CE3CD3">
        <w:t xml:space="preserve"> in split architecture</w:t>
      </w:r>
      <w:r w:rsidR="00E26777">
        <w:t>.</w:t>
      </w:r>
    </w:p>
    <w:p w14:paraId="2BBFF540" w14:textId="4E1FA735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F76E53">
        <w:t>MDT Architecture</w:t>
      </w:r>
    </w:p>
    <w:p w14:paraId="5989706E" w14:textId="2BD22E39" w:rsidR="00823BAB" w:rsidRDefault="00823BAB" w:rsidP="00823BAB">
      <w:r>
        <w:t xml:space="preserve">MDT uses the framework of Trace, which is described in </w:t>
      </w:r>
      <w:r w:rsidR="007B38D4">
        <w:rPr>
          <w:lang w:val="en-US"/>
        </w:rPr>
        <w:t>32.421, 32.422, and 32.423</w:t>
      </w:r>
      <w:r w:rsidR="007164F0">
        <w:rPr>
          <w:lang w:val="en-US"/>
        </w:rPr>
        <w:t>.</w:t>
      </w:r>
    </w:p>
    <w:p w14:paraId="51432125" w14:textId="1B8D2D8A" w:rsidR="00823BAB" w:rsidRDefault="00823BAB" w:rsidP="00823BAB">
      <w:r>
        <w:t>MDT</w:t>
      </w:r>
      <w:r w:rsidR="00F97CDE">
        <w:t xml:space="preserve"> comes with two different activation mechanisms:</w:t>
      </w:r>
    </w:p>
    <w:p w14:paraId="51689CC9" w14:textId="24D1E5A8" w:rsidR="00823BAB" w:rsidRDefault="00016BD6" w:rsidP="00016BD6">
      <w:pPr>
        <w:pStyle w:val="B1"/>
      </w:pPr>
      <w:r>
        <w:t>-</w:t>
      </w:r>
      <w:r>
        <w:tab/>
      </w:r>
      <w:r w:rsidR="00823BAB">
        <w:t>Management based MDT</w:t>
      </w:r>
    </w:p>
    <w:p w14:paraId="3EE6B81C" w14:textId="51765498" w:rsidR="00823BAB" w:rsidRDefault="00016BD6" w:rsidP="00016BD6">
      <w:pPr>
        <w:pStyle w:val="B1"/>
      </w:pPr>
      <w:r>
        <w:t>-</w:t>
      </w:r>
      <w:r>
        <w:tab/>
      </w:r>
      <w:r w:rsidR="00823BAB">
        <w:t>Signalling Based MDT</w:t>
      </w:r>
    </w:p>
    <w:p w14:paraId="0E1C7E90" w14:textId="196B8F38" w:rsidR="00823BAB" w:rsidRPr="00E26777" w:rsidRDefault="00016BD6" w:rsidP="00823BAB">
      <w:pPr>
        <w:rPr>
          <w:color w:val="FF0000"/>
        </w:rPr>
      </w:pPr>
      <w:r>
        <w:t>Management based is used to get measurement for a given area.</w:t>
      </w:r>
      <w:r w:rsidR="00E26777">
        <w:t xml:space="preserve"> </w:t>
      </w:r>
    </w:p>
    <w:p w14:paraId="0633E58E" w14:textId="15F37794" w:rsidR="00016BD6" w:rsidRDefault="00016BD6" w:rsidP="00823BAB">
      <w:r>
        <w:t>Signalling based is used when the measurements from a specific UE is needed. In the following sections, we described the signalling flow for the MDT triggering and report</w:t>
      </w:r>
    </w:p>
    <w:p w14:paraId="1AD6C683" w14:textId="77777777" w:rsidR="00823BAB" w:rsidRDefault="00823BAB" w:rsidP="00823BAB"/>
    <w:p w14:paraId="0DEA13FD" w14:textId="16E01745" w:rsidR="00823BAB" w:rsidRDefault="00823BAB" w:rsidP="00823BAB">
      <w:pPr>
        <w:pStyle w:val="Heading2"/>
      </w:pPr>
      <w:r>
        <w:t>2.1</w:t>
      </w:r>
      <w:r>
        <w:tab/>
      </w:r>
      <w:r w:rsidR="008F1D99">
        <w:t>Signalling</w:t>
      </w:r>
      <w:r>
        <w:t xml:space="preserve"> based MDT</w:t>
      </w:r>
      <w:r w:rsidR="009E47E1">
        <w:t xml:space="preserve"> (or sub</w:t>
      </w:r>
      <w:r w:rsidR="00AF220F">
        <w:t>scription</w:t>
      </w:r>
      <w:r w:rsidR="00265A04">
        <w:t>-</w:t>
      </w:r>
      <w:r w:rsidR="00AF220F">
        <w:t>based MDT)</w:t>
      </w:r>
    </w:p>
    <w:p w14:paraId="6923EE26" w14:textId="1218BC43" w:rsidR="00823BAB" w:rsidRDefault="00292E5C" w:rsidP="00823BAB">
      <w:r>
        <w:t>The trace configuration is initiated by OAM via the Core Network (AMF).</w:t>
      </w:r>
    </w:p>
    <w:p w14:paraId="0994B1CC" w14:textId="395A4C21" w:rsidR="00292E5C" w:rsidRDefault="00292E5C" w:rsidP="00823BAB">
      <w:r>
        <w:t xml:space="preserve">It should be noted that </w:t>
      </w:r>
      <w:r w:rsidR="00F97CDE">
        <w:t>s</w:t>
      </w:r>
      <w:r>
        <w:t>ignalling based MDT targets a specific UE</w:t>
      </w:r>
      <w:r w:rsidR="00F97CDE">
        <w:t>. The measurements for this UE may be performed by the UE itself (which reports to the network), or by the gNB (e.g.</w:t>
      </w:r>
      <w:r>
        <w:t xml:space="preserve"> </w:t>
      </w:r>
      <w:r w:rsidR="00F97CDE">
        <w:t>L2 measurements</w:t>
      </w:r>
      <w:r w:rsidR="00F97CDE">
        <w:t xml:space="preserve"> performed by the gNB-DU)</w:t>
      </w:r>
      <w:r>
        <w:t>.</w:t>
      </w:r>
    </w:p>
    <w:p w14:paraId="6559B890" w14:textId="77777777" w:rsidR="005D0B29" w:rsidRDefault="005D0B29" w:rsidP="00823BAB"/>
    <w:p w14:paraId="39388664" w14:textId="46265FDC" w:rsidR="004F0BFF" w:rsidRDefault="00EE53E6" w:rsidP="004F0BFF">
      <w:pPr>
        <w:keepNext/>
        <w:jc w:val="center"/>
      </w:pPr>
      <w:r>
        <w:object w:dxaOrig="11760" w:dyaOrig="4125" w14:anchorId="1AFF56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65pt;height:156pt" o:ole="">
            <v:imagedata r:id="rId12" o:title=""/>
          </v:shape>
          <o:OLEObject Type="Embed" ProgID="Mscgen.Chart" ShapeID="_x0000_i1025" DrawAspect="Content" ObjectID="_1631768253" r:id="rId13"/>
        </w:object>
      </w:r>
    </w:p>
    <w:p w14:paraId="5F709983" w14:textId="6ACB48BA" w:rsidR="003A7A9D" w:rsidRDefault="004F0BFF" w:rsidP="006A0451">
      <w:pPr>
        <w:pStyle w:val="TH"/>
      </w:pPr>
      <w:r>
        <w:t xml:space="preserve">Figure </w:t>
      </w:r>
      <w:r w:rsidR="00800AB7">
        <w:fldChar w:fldCharType="begin"/>
      </w:r>
      <w:r w:rsidR="00800AB7">
        <w:instrText xml:space="preserve"> SEQ Figure \* ARABIC </w:instrText>
      </w:r>
      <w:r w:rsidR="00800AB7">
        <w:fldChar w:fldCharType="separate"/>
      </w:r>
      <w:r>
        <w:t>1</w:t>
      </w:r>
      <w:r w:rsidR="00800AB7">
        <w:fldChar w:fldCharType="end"/>
      </w:r>
      <w:r>
        <w:t xml:space="preserve">: </w:t>
      </w:r>
      <w:r w:rsidR="00765898">
        <w:t>S</w:t>
      </w:r>
      <w:r>
        <w:t>ignalling based MDT</w:t>
      </w:r>
    </w:p>
    <w:p w14:paraId="23F06981" w14:textId="77777777" w:rsidR="00016BD6" w:rsidRPr="00823BAB" w:rsidRDefault="00016BD6" w:rsidP="00823BAB"/>
    <w:p w14:paraId="7BA307DA" w14:textId="77777777" w:rsidR="00823BAB" w:rsidRPr="00823BAB" w:rsidRDefault="00823BAB" w:rsidP="00823BAB"/>
    <w:p w14:paraId="689CC725" w14:textId="6B1590FD" w:rsidR="00823BAB" w:rsidRDefault="00823BAB" w:rsidP="00823BAB">
      <w:pPr>
        <w:pStyle w:val="Heading2"/>
      </w:pPr>
      <w:r>
        <w:t>2.2</w:t>
      </w:r>
      <w:r>
        <w:tab/>
      </w:r>
      <w:r w:rsidR="008F1D99">
        <w:t>Management</w:t>
      </w:r>
      <w:r>
        <w:t xml:space="preserve"> </w:t>
      </w:r>
      <w:r w:rsidR="00265A04">
        <w:t>b</w:t>
      </w:r>
      <w:r>
        <w:t>ased MDT</w:t>
      </w:r>
      <w:r w:rsidR="00AF220F">
        <w:t xml:space="preserve"> (</w:t>
      </w:r>
      <w:r w:rsidR="00265A04">
        <w:t>o</w:t>
      </w:r>
      <w:r w:rsidR="00AF220F">
        <w:t xml:space="preserve">r </w:t>
      </w:r>
      <w:proofErr w:type="gramStart"/>
      <w:r w:rsidR="00265A04">
        <w:t>a</w:t>
      </w:r>
      <w:r w:rsidR="00AF220F">
        <w:t>rea</w:t>
      </w:r>
      <w:r w:rsidR="00867831">
        <w:t xml:space="preserve"> </w:t>
      </w:r>
      <w:r w:rsidR="00265A04">
        <w:t>b</w:t>
      </w:r>
      <w:r w:rsidR="00AF220F">
        <w:t>ased</w:t>
      </w:r>
      <w:proofErr w:type="gramEnd"/>
      <w:r w:rsidR="00AF220F">
        <w:t xml:space="preserve"> MDT)</w:t>
      </w:r>
    </w:p>
    <w:p w14:paraId="049646FF" w14:textId="263E8E15" w:rsidR="007A5B1C" w:rsidRDefault="007A5B1C" w:rsidP="007A5B1C">
      <w:r>
        <w:t xml:space="preserve">For the case of </w:t>
      </w:r>
      <w:proofErr w:type="gramStart"/>
      <w:r w:rsidR="00867831">
        <w:t>management</w:t>
      </w:r>
      <w:r>
        <w:t xml:space="preserve"> </w:t>
      </w:r>
      <w:r w:rsidR="00867831">
        <w:t>b</w:t>
      </w:r>
      <w:r>
        <w:t>ased</w:t>
      </w:r>
      <w:proofErr w:type="gramEnd"/>
      <w:r>
        <w:t xml:space="preserve"> MDT</w:t>
      </w:r>
      <w:r w:rsidR="008F1D99">
        <w:t xml:space="preserve"> we show the example of a MDT configuration that includes </w:t>
      </w:r>
      <w:r w:rsidR="00A93ECE">
        <w:t>measurement from UEs as well as measurements performed in DU.</w:t>
      </w:r>
      <w:r w:rsidR="006A0451">
        <w:t xml:space="preserve"> The configuration could for example ask for measurements within a defined area.</w:t>
      </w:r>
    </w:p>
    <w:p w14:paraId="2631C3CB" w14:textId="6AED9115" w:rsidR="00A93ECE" w:rsidRPr="00A93ECE" w:rsidRDefault="00A93ECE" w:rsidP="007A5B1C">
      <w:pPr>
        <w:rPr>
          <w:color w:val="FF0000"/>
        </w:rPr>
      </w:pPr>
    </w:p>
    <w:p w14:paraId="09EF477E" w14:textId="77777777" w:rsidR="00823BAB" w:rsidRDefault="00823BAB" w:rsidP="00A209D6"/>
    <w:p w14:paraId="3AA387EA" w14:textId="254A1CEF" w:rsidR="007A5B1C" w:rsidRDefault="00EE53E6" w:rsidP="007A5B1C">
      <w:pPr>
        <w:keepNext/>
        <w:jc w:val="center"/>
      </w:pPr>
      <w:r>
        <w:object w:dxaOrig="8835" w:dyaOrig="3600" w14:anchorId="704FA616">
          <v:shape id="_x0000_i1026" type="#_x0000_t75" style="width:334.35pt;height:135.25pt" o:ole="">
            <v:imagedata r:id="rId14" o:title=""/>
          </v:shape>
          <o:OLEObject Type="Embed" ProgID="Mscgen.Chart" ShapeID="_x0000_i1026" DrawAspect="Content" ObjectID="_1631768254" r:id="rId15"/>
        </w:object>
      </w:r>
    </w:p>
    <w:p w14:paraId="2EA1E178" w14:textId="5C7B0E5E" w:rsidR="007A5B1C" w:rsidRDefault="007A5B1C" w:rsidP="006A0451">
      <w:pPr>
        <w:pStyle w:val="TH"/>
      </w:pPr>
      <w:r>
        <w:t xml:space="preserve">Figure </w:t>
      </w:r>
      <w:r w:rsidR="00A93ECE">
        <w:t>2</w:t>
      </w:r>
      <w:r>
        <w:t xml:space="preserve">: </w:t>
      </w:r>
      <w:r w:rsidR="00265A04">
        <w:t>M</w:t>
      </w:r>
      <w:r w:rsidR="00A93ECE">
        <w:t xml:space="preserve">anagement </w:t>
      </w:r>
      <w:r>
        <w:t>based MDT</w:t>
      </w:r>
    </w:p>
    <w:p w14:paraId="468FAD9C" w14:textId="77777777" w:rsidR="00016BD6" w:rsidRDefault="00016BD6" w:rsidP="00A209D6"/>
    <w:p w14:paraId="63ACC2ED" w14:textId="77777777" w:rsidR="00016BD6" w:rsidRDefault="00016BD6" w:rsidP="00A209D6"/>
    <w:p w14:paraId="727262B1" w14:textId="042364BD" w:rsidR="00016BD6" w:rsidRDefault="00016BD6" w:rsidP="00016BD6">
      <w:pPr>
        <w:pStyle w:val="Heading2"/>
      </w:pPr>
      <w:r>
        <w:t>2.3</w:t>
      </w:r>
      <w:r>
        <w:tab/>
        <w:t>Data Aggregation</w:t>
      </w:r>
    </w:p>
    <w:p w14:paraId="1FBA722D" w14:textId="560825FD" w:rsidR="006A0451" w:rsidRDefault="006F4D17" w:rsidP="00016BD6">
      <w:r>
        <w:t>Some of the MDT measurements for NR are defined for DU.</w:t>
      </w:r>
      <w:r w:rsidR="006A0451">
        <w:t xml:space="preserve"> Some other are defined for CU. And Some for the UE.</w:t>
      </w:r>
    </w:p>
    <w:p w14:paraId="5B441AB6" w14:textId="5D97FB77" w:rsidR="006A0451" w:rsidRDefault="0094191A" w:rsidP="00016BD6">
      <w:r>
        <w:t>T</w:t>
      </w:r>
      <w:r w:rsidR="006A0451">
        <w:t>he UE measurements are reported to CU via RRC messages (for immediate and logged MDT).</w:t>
      </w:r>
      <w:r>
        <w:t xml:space="preserve"> They are then forwarded to TCE together with the measurements made by CU.</w:t>
      </w:r>
    </w:p>
    <w:p w14:paraId="43B626D5" w14:textId="7F86B5A8" w:rsidR="007164F0" w:rsidRDefault="0094191A" w:rsidP="00016BD6">
      <w:r>
        <w:t xml:space="preserve">The measurements done by DU could be </w:t>
      </w:r>
      <w:r w:rsidR="007032C9">
        <w:t>sent directly to TCE</w:t>
      </w:r>
      <w:r w:rsidR="007164F0">
        <w:t xml:space="preserve"> or be collected by CU before being sent to TCE. The </w:t>
      </w:r>
      <w:r w:rsidR="00265A04">
        <w:t>aggregation</w:t>
      </w:r>
      <w:r w:rsidR="007164F0">
        <w:t xml:space="preserve"> o</w:t>
      </w:r>
      <w:r w:rsidR="00265A04">
        <w:t>f</w:t>
      </w:r>
      <w:r w:rsidR="007164F0">
        <w:t xml:space="preserve"> </w:t>
      </w:r>
      <w:r w:rsidR="00265A04">
        <w:t xml:space="preserve">all </w:t>
      </w:r>
      <w:r w:rsidR="007164F0">
        <w:t>data in CU mean</w:t>
      </w:r>
      <w:r w:rsidR="00265A04">
        <w:t>s</w:t>
      </w:r>
      <w:r w:rsidR="007164F0">
        <w:t xml:space="preserve"> that </w:t>
      </w:r>
      <w:r w:rsidR="00265A04">
        <w:t xml:space="preserve">the </w:t>
      </w:r>
      <w:r w:rsidR="007164F0">
        <w:t xml:space="preserve">F1 interface needs to support </w:t>
      </w:r>
      <w:r w:rsidR="00265A04">
        <w:t>the</w:t>
      </w:r>
      <w:r w:rsidR="007164F0">
        <w:t xml:space="preserve"> transmission</w:t>
      </w:r>
      <w:r w:rsidR="00265A04">
        <w:t xml:space="preserve"> of measurement data from the DU</w:t>
      </w:r>
      <w:r w:rsidR="007164F0">
        <w:t>, which can be challenging.</w:t>
      </w:r>
    </w:p>
    <w:p w14:paraId="5E9018A6" w14:textId="7F99FCA5" w:rsidR="006F4D17" w:rsidRDefault="00016BD6" w:rsidP="00016BD6">
      <w:r w:rsidRPr="0094191A">
        <w:rPr>
          <w:b/>
        </w:rPr>
        <w:t>Proposal:</w:t>
      </w:r>
      <w:r>
        <w:t xml:space="preserve"> The </w:t>
      </w:r>
      <w:r w:rsidR="006F4D17">
        <w:t xml:space="preserve">MDT measurements are not aggregated in </w:t>
      </w:r>
      <w:r w:rsidR="001918D4">
        <w:t>the gNB-</w:t>
      </w:r>
      <w:r w:rsidR="006F4D17">
        <w:t xml:space="preserve">CU before being sent to </w:t>
      </w:r>
      <w:r w:rsidR="007032C9">
        <w:t>TCE</w:t>
      </w:r>
      <w:r w:rsidR="001918D4">
        <w:t>, but are sent directly from the gNB-DU to the TCE</w:t>
      </w:r>
      <w:bookmarkStart w:id="1" w:name="_GoBack"/>
      <w:bookmarkEnd w:id="1"/>
      <w:r w:rsidR="001918D4">
        <w:t xml:space="preserve"> and from the gNB-CU to the TCE</w:t>
      </w:r>
      <w:r w:rsidR="007032C9">
        <w:t>.</w:t>
      </w:r>
    </w:p>
    <w:p w14:paraId="367FF793" w14:textId="77777777" w:rsidR="00016BD6" w:rsidRDefault="00016BD6" w:rsidP="00A209D6"/>
    <w:p w14:paraId="73496EDC" w14:textId="2DC7B401" w:rsidR="007032C9" w:rsidRDefault="007032C9" w:rsidP="007032C9">
      <w:pPr>
        <w:pStyle w:val="Heading2"/>
      </w:pPr>
      <w:r>
        <w:lastRenderedPageBreak/>
        <w:t>2.4</w:t>
      </w:r>
      <w:r>
        <w:tab/>
        <w:t>Streaming to TCE</w:t>
      </w:r>
    </w:p>
    <w:p w14:paraId="2E9FFF24" w14:textId="648F48B8" w:rsidR="009C3466" w:rsidRDefault="00AF220F" w:rsidP="00A209D6">
      <w:r>
        <w:t>In SA5, a Rel-16 Study Item</w:t>
      </w:r>
      <w:r w:rsidR="0060413B">
        <w:t>, specifies the distribution of Trace Data using streaming instead of file delivery.</w:t>
      </w:r>
      <w:r w:rsidR="00905488">
        <w:t xml:space="preserve"> </w:t>
      </w:r>
      <w:r w:rsidR="0060413B">
        <w:t xml:space="preserve">This is specified in </w:t>
      </w:r>
      <w:r w:rsidR="0060413B" w:rsidRPr="0060413B">
        <w:t>28.806</w:t>
      </w:r>
      <w:r w:rsidR="009C3466">
        <w:t xml:space="preserve">. The nodes in RAN will be able to send, receive and / or forward the data generated for MDT. The following figure shows </w:t>
      </w:r>
      <w:r w:rsidR="00905488">
        <w:t>how nodes can generate data, subscribe to data and forward it.</w:t>
      </w:r>
    </w:p>
    <w:p w14:paraId="7043653A" w14:textId="77777777" w:rsidR="00905488" w:rsidRDefault="00905488" w:rsidP="00A209D6"/>
    <w:p w14:paraId="22497A06" w14:textId="1FE37659" w:rsidR="009C3466" w:rsidRDefault="00896A41" w:rsidP="00265A04">
      <w:pPr>
        <w:jc w:val="center"/>
      </w:pPr>
      <w:r>
        <w:object w:dxaOrig="6961" w:dyaOrig="4590" w14:anchorId="5BFE5E74">
          <v:shape id="_x0000_i1027" type="#_x0000_t75" style="width:307.1pt;height:202.35pt" o:ole="">
            <v:imagedata r:id="rId16" o:title=""/>
          </v:shape>
          <o:OLEObject Type="Embed" ProgID="Visio.Drawing.15" ShapeID="_x0000_i1027" DrawAspect="Content" ObjectID="_1631768255" r:id="rId17"/>
        </w:object>
      </w:r>
    </w:p>
    <w:p w14:paraId="4B7DF2FB" w14:textId="6E0B3D3A" w:rsidR="00923585" w:rsidRDefault="00923585" w:rsidP="00923585">
      <w:pPr>
        <w:pStyle w:val="TH"/>
      </w:pPr>
      <w:r>
        <w:t>Figure 3: Data Streaming for MDT</w:t>
      </w:r>
    </w:p>
    <w:p w14:paraId="4F547731" w14:textId="77777777" w:rsidR="00A209D6" w:rsidRPr="006E13D1" w:rsidRDefault="00A209D6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6C60FFDC" w14:textId="504D0FF6" w:rsidR="00A209D6" w:rsidRPr="00265A04" w:rsidRDefault="00F8616D" w:rsidP="00A209D6">
      <w:r>
        <w:t>W</w:t>
      </w:r>
      <w:r w:rsidR="00896A41" w:rsidRPr="00265A04">
        <w:t xml:space="preserve">e </w:t>
      </w:r>
      <w:r>
        <w:t xml:space="preserve">have </w:t>
      </w:r>
      <w:r w:rsidR="00896A41" w:rsidRPr="00265A04">
        <w:t>made the following proposal:</w:t>
      </w:r>
    </w:p>
    <w:p w14:paraId="343A85B4" w14:textId="376A2F01" w:rsidR="001918D4" w:rsidRDefault="001918D4" w:rsidP="001918D4">
      <w:r w:rsidRPr="0094191A">
        <w:rPr>
          <w:b/>
        </w:rPr>
        <w:t>Proposal:</w:t>
      </w:r>
      <w:r>
        <w:t xml:space="preserve"> The MDT measurements are not aggregated in the gNB-CU before being sent to </w:t>
      </w:r>
      <w:proofErr w:type="gramStart"/>
      <w:r>
        <w:t>TCE, but</w:t>
      </w:r>
      <w:proofErr w:type="gramEnd"/>
      <w:r>
        <w:t xml:space="preserve"> are sent directly from the gNB-DU to the TCE and from the gNB-CU to the TCE.</w:t>
      </w:r>
    </w:p>
    <w:p w14:paraId="1DB0D2D7" w14:textId="77777777" w:rsidR="00896A41" w:rsidRPr="006A0451" w:rsidRDefault="00896A41" w:rsidP="00A209D6">
      <w:pPr>
        <w:rPr>
          <w:color w:val="FF0000"/>
        </w:rPr>
      </w:pPr>
    </w:p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2AAAD" w14:textId="77777777" w:rsidR="00800AB7" w:rsidRDefault="00800AB7">
      <w:r>
        <w:separator/>
      </w:r>
    </w:p>
  </w:endnote>
  <w:endnote w:type="continuationSeparator" w:id="0">
    <w:p w14:paraId="73E84CD2" w14:textId="77777777" w:rsidR="00800AB7" w:rsidRDefault="00800AB7">
      <w:r>
        <w:continuationSeparator/>
      </w:r>
    </w:p>
  </w:endnote>
  <w:endnote w:type="continuationNotice" w:id="1">
    <w:p w14:paraId="46E5168F" w14:textId="77777777" w:rsidR="00800AB7" w:rsidRDefault="00800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EE53E6" w:rsidRDefault="00EE53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EE53E6" w:rsidRDefault="00EE53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EE53E6" w:rsidRDefault="00EE53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8BDB9" w14:textId="77777777" w:rsidR="00800AB7" w:rsidRDefault="00800AB7">
      <w:r>
        <w:separator/>
      </w:r>
    </w:p>
  </w:footnote>
  <w:footnote w:type="continuationSeparator" w:id="0">
    <w:p w14:paraId="679CD6E4" w14:textId="77777777" w:rsidR="00800AB7" w:rsidRDefault="00800AB7">
      <w:r>
        <w:continuationSeparator/>
      </w:r>
    </w:p>
  </w:footnote>
  <w:footnote w:type="continuationNotice" w:id="1">
    <w:p w14:paraId="447EE596" w14:textId="77777777" w:rsidR="00800AB7" w:rsidRDefault="00800A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EE53E6" w:rsidRDefault="00EE53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EE53E6" w:rsidRDefault="00EE5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EE53E6" w:rsidRDefault="00EE5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086D63"/>
    <w:multiLevelType w:val="hybridMultilevel"/>
    <w:tmpl w:val="8A08C252"/>
    <w:lvl w:ilvl="0" w:tplc="EFE016B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958"/>
    <w:multiLevelType w:val="hybridMultilevel"/>
    <w:tmpl w:val="0D6AEDC8"/>
    <w:lvl w:ilvl="0" w:tplc="DFB828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16BD6"/>
    <w:rsid w:val="00022323"/>
    <w:rsid w:val="00023C40"/>
    <w:rsid w:val="00033397"/>
    <w:rsid w:val="00040095"/>
    <w:rsid w:val="00073C9C"/>
    <w:rsid w:val="00080512"/>
    <w:rsid w:val="00090468"/>
    <w:rsid w:val="00094568"/>
    <w:rsid w:val="000B7BCF"/>
    <w:rsid w:val="000C522B"/>
    <w:rsid w:val="000D58AB"/>
    <w:rsid w:val="00112F1A"/>
    <w:rsid w:val="00124043"/>
    <w:rsid w:val="00145075"/>
    <w:rsid w:val="001741A0"/>
    <w:rsid w:val="00175FA0"/>
    <w:rsid w:val="001918D4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50404"/>
    <w:rsid w:val="00256A26"/>
    <w:rsid w:val="002610D8"/>
    <w:rsid w:val="00265A04"/>
    <w:rsid w:val="002747EC"/>
    <w:rsid w:val="002855BF"/>
    <w:rsid w:val="00292E5C"/>
    <w:rsid w:val="002F0D22"/>
    <w:rsid w:val="003172DC"/>
    <w:rsid w:val="00325AE3"/>
    <w:rsid w:val="00326069"/>
    <w:rsid w:val="0035462D"/>
    <w:rsid w:val="00364B41"/>
    <w:rsid w:val="00383096"/>
    <w:rsid w:val="003A41EF"/>
    <w:rsid w:val="003A7A9D"/>
    <w:rsid w:val="003B40AD"/>
    <w:rsid w:val="003C4E37"/>
    <w:rsid w:val="003E0C93"/>
    <w:rsid w:val="003E16BE"/>
    <w:rsid w:val="003F4E28"/>
    <w:rsid w:val="004006E8"/>
    <w:rsid w:val="00401855"/>
    <w:rsid w:val="0042031D"/>
    <w:rsid w:val="00465587"/>
    <w:rsid w:val="00477455"/>
    <w:rsid w:val="00497974"/>
    <w:rsid w:val="004A1F7B"/>
    <w:rsid w:val="004C44D2"/>
    <w:rsid w:val="004D3578"/>
    <w:rsid w:val="004D380D"/>
    <w:rsid w:val="004E213A"/>
    <w:rsid w:val="004F0BFF"/>
    <w:rsid w:val="00503171"/>
    <w:rsid w:val="00506C28"/>
    <w:rsid w:val="005214DD"/>
    <w:rsid w:val="00534DA0"/>
    <w:rsid w:val="00543E6C"/>
    <w:rsid w:val="00565087"/>
    <w:rsid w:val="0056573F"/>
    <w:rsid w:val="005D0B29"/>
    <w:rsid w:val="0060413B"/>
    <w:rsid w:val="00611566"/>
    <w:rsid w:val="00646D99"/>
    <w:rsid w:val="00656910"/>
    <w:rsid w:val="006A0451"/>
    <w:rsid w:val="006C66D8"/>
    <w:rsid w:val="006D1E24"/>
    <w:rsid w:val="006E1417"/>
    <w:rsid w:val="006F4D17"/>
    <w:rsid w:val="006F6A2C"/>
    <w:rsid w:val="007032C9"/>
    <w:rsid w:val="007069DC"/>
    <w:rsid w:val="00710201"/>
    <w:rsid w:val="007164F0"/>
    <w:rsid w:val="0072073A"/>
    <w:rsid w:val="007342B5"/>
    <w:rsid w:val="00734A5B"/>
    <w:rsid w:val="00744E76"/>
    <w:rsid w:val="00757D40"/>
    <w:rsid w:val="00765898"/>
    <w:rsid w:val="00781F0F"/>
    <w:rsid w:val="0078727C"/>
    <w:rsid w:val="0079049D"/>
    <w:rsid w:val="00793DC5"/>
    <w:rsid w:val="007A5B1C"/>
    <w:rsid w:val="007B18D8"/>
    <w:rsid w:val="007B38D4"/>
    <w:rsid w:val="007C095F"/>
    <w:rsid w:val="007C2DD0"/>
    <w:rsid w:val="007F2E08"/>
    <w:rsid w:val="00800AB7"/>
    <w:rsid w:val="008028A4"/>
    <w:rsid w:val="00813245"/>
    <w:rsid w:val="00823BAB"/>
    <w:rsid w:val="0086354A"/>
    <w:rsid w:val="00867831"/>
    <w:rsid w:val="0087007D"/>
    <w:rsid w:val="008768CA"/>
    <w:rsid w:val="00877EF9"/>
    <w:rsid w:val="00880559"/>
    <w:rsid w:val="00896A41"/>
    <w:rsid w:val="008B5306"/>
    <w:rsid w:val="008C3057"/>
    <w:rsid w:val="008D2E4D"/>
    <w:rsid w:val="008F1D99"/>
    <w:rsid w:val="008F396F"/>
    <w:rsid w:val="0090271F"/>
    <w:rsid w:val="00902DB9"/>
    <w:rsid w:val="0090466A"/>
    <w:rsid w:val="00905488"/>
    <w:rsid w:val="00915904"/>
    <w:rsid w:val="00923585"/>
    <w:rsid w:val="00923655"/>
    <w:rsid w:val="00936071"/>
    <w:rsid w:val="00940212"/>
    <w:rsid w:val="0094191A"/>
    <w:rsid w:val="00942EC2"/>
    <w:rsid w:val="00961B32"/>
    <w:rsid w:val="00962509"/>
    <w:rsid w:val="00970DB3"/>
    <w:rsid w:val="00971399"/>
    <w:rsid w:val="00974BB0"/>
    <w:rsid w:val="00975BCD"/>
    <w:rsid w:val="009A0AF3"/>
    <w:rsid w:val="009B07CD"/>
    <w:rsid w:val="009C19E9"/>
    <w:rsid w:val="009C3466"/>
    <w:rsid w:val="009D74A6"/>
    <w:rsid w:val="009E47E1"/>
    <w:rsid w:val="00A10F02"/>
    <w:rsid w:val="00A204CA"/>
    <w:rsid w:val="00A209D6"/>
    <w:rsid w:val="00A53724"/>
    <w:rsid w:val="00A54B2B"/>
    <w:rsid w:val="00A82346"/>
    <w:rsid w:val="00A92165"/>
    <w:rsid w:val="00A93ECE"/>
    <w:rsid w:val="00A9671C"/>
    <w:rsid w:val="00AA1553"/>
    <w:rsid w:val="00AF220F"/>
    <w:rsid w:val="00B05380"/>
    <w:rsid w:val="00B05962"/>
    <w:rsid w:val="00B15449"/>
    <w:rsid w:val="00B16C2F"/>
    <w:rsid w:val="00B27303"/>
    <w:rsid w:val="00B47FD1"/>
    <w:rsid w:val="00B516BB"/>
    <w:rsid w:val="00B84DB2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CE3CD3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26777"/>
    <w:rsid w:val="00E46C08"/>
    <w:rsid w:val="00E471CF"/>
    <w:rsid w:val="00E62835"/>
    <w:rsid w:val="00E77645"/>
    <w:rsid w:val="00E83697"/>
    <w:rsid w:val="00E944B6"/>
    <w:rsid w:val="00EA66C9"/>
    <w:rsid w:val="00EC4A25"/>
    <w:rsid w:val="00EE53E6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53B8"/>
    <w:rsid w:val="00F71B89"/>
    <w:rsid w:val="00F7353C"/>
    <w:rsid w:val="00F76E53"/>
    <w:rsid w:val="00F76F8F"/>
    <w:rsid w:val="00F8616D"/>
    <w:rsid w:val="00F941DF"/>
    <w:rsid w:val="00F97CDE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F0BF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5AIRPNAIUNRU-1083777305-571</_dlc_DocId>
    <_dlc_DocIdUrl xmlns="71c5aaf6-e6ce-465b-b873-5148d2a4c105">
      <Url>https://nokia.sharepoint.com/sites/c5g/projects/flexiaccess/_layouts/15/DocIdRedir.aspx?ID=5AIRPNAIUNRU-1083777305-571</Url>
      <Description>5AIRPNAIUNRU-1083777305-571</Description>
    </_dlc_DocIdUrl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66997EA-703A-49AF-AF4D-F6648FF25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448</TotalTime>
  <Pages>3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3056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Decarreau, Guillaume (Nokia - DE/Munich)</dc:creator>
  <cp:lastModifiedBy>Nokia</cp:lastModifiedBy>
  <cp:revision>23</cp:revision>
  <dcterms:created xsi:type="dcterms:W3CDTF">2019-09-10T13:44:00Z</dcterms:created>
  <dcterms:modified xsi:type="dcterms:W3CDTF">2019-10-05T06:10:00Z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62b2a829-6a66-41e3-8e7f-8e5923414516</vt:lpwstr>
  </property>
</Properties>
</file>